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rPr>
        <w:t>201</w:t>
      </w:r>
      <w:r>
        <w:rPr>
          <w:rFonts w:hint="eastAsia" w:ascii="宋体" w:hAnsi="宋体" w:cs="宋体"/>
          <w:b/>
          <w:bCs/>
          <w:sz w:val="36"/>
          <w:szCs w:val="36"/>
          <w:lang w:val="en-US" w:eastAsia="zh-CN"/>
        </w:rPr>
        <w:t>8</w:t>
      </w:r>
      <w:r>
        <w:rPr>
          <w:rFonts w:hint="eastAsia" w:ascii="宋体" w:hAnsi="宋体" w:eastAsia="宋体" w:cs="宋体"/>
          <w:b/>
          <w:bCs/>
          <w:sz w:val="36"/>
          <w:szCs w:val="36"/>
        </w:rPr>
        <w:t>年度述职述廉</w:t>
      </w:r>
      <w:r>
        <w:rPr>
          <w:rFonts w:hint="eastAsia" w:ascii="宋体" w:hAnsi="宋体" w:eastAsia="宋体" w:cs="宋体"/>
          <w:b/>
          <w:bCs/>
          <w:sz w:val="36"/>
          <w:szCs w:val="36"/>
          <w:lang w:eastAsia="zh-CN"/>
        </w:rPr>
        <w:t>述学</w:t>
      </w:r>
      <w:r>
        <w:rPr>
          <w:rFonts w:hint="eastAsia" w:ascii="宋体" w:hAnsi="宋体" w:eastAsia="宋体" w:cs="宋体"/>
          <w:b/>
          <w:bCs/>
          <w:sz w:val="36"/>
          <w:szCs w:val="36"/>
        </w:rPr>
        <w:t>报告</w:t>
      </w:r>
    </w:p>
    <w:p>
      <w:pPr>
        <w:jc w:val="center"/>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岱山</w:t>
      </w:r>
      <w:r>
        <w:rPr>
          <w:rFonts w:hint="eastAsia" w:ascii="楷体_GB2312" w:hAnsi="楷体_GB2312" w:eastAsia="楷体_GB2312" w:cs="楷体_GB2312"/>
          <w:b w:val="0"/>
          <w:bCs/>
          <w:sz w:val="32"/>
          <w:szCs w:val="32"/>
        </w:rPr>
        <w:t xml:space="preserve">县政协  柴志军 </w:t>
      </w:r>
    </w:p>
    <w:p>
      <w:pPr>
        <w:jc w:val="center"/>
        <w:rPr>
          <w:rFonts w:hint="eastAsia" w:ascii="楷体_GB2312" w:hAnsi="楷体_GB2312" w:eastAsia="楷体_GB2312" w:cs="楷体_GB2312"/>
          <w:b w:val="0"/>
          <w:bCs/>
          <w:sz w:val="32"/>
          <w:szCs w:val="32"/>
        </w:rPr>
      </w:pPr>
      <w:bookmarkStart w:id="0" w:name="_GoBack"/>
      <w:bookmarkEnd w:id="0"/>
    </w:p>
    <w:p>
      <w:pPr>
        <w:ind w:firstLine="5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人今年6月从县经信局调入县政协经科委。一年来，在政协党组的正确领导下，以党的十九大精神、邓小平理论和“三个代表”重要思想为指导，积极发挥政协“协调关系、汇聚力量、建言献策、服务大局”的作用，以求真务实的态度、清正廉洁的作风，认真履行职能，基本完成了年度目标任务和领导交办的各项工作，现将本人一年来执行工作任务、思想作风、廉洁自律和政治理论学习等方面的情况报告如下；</w:t>
      </w:r>
    </w:p>
    <w:p>
      <w:pPr>
        <w:numPr>
          <w:ilvl w:val="0"/>
          <w:numId w:val="1"/>
        </w:numPr>
        <w:jc w:val="left"/>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深化学习，努力提高自身的综合素质</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年来，我能按照县里布置的理论学习制度要求，以一个合格共产党员的标准，坚持把学习贯穿于工作始终，加强学习的积极性和主动性，积极参加政协组织的读书会、远程教育、党支部学习、自学等各种学习活动，深刻领会“十九大”精神。今年，着重学习了县里下发的          等书籍，通过始终如一地抓好理论学习，进一步增强了自己的政治鉴别力和综合素质。</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人在这一年中还加强业务知识的学习，认真学习政协相关理论知识，主动加强与县发改局、经信局、交通局等经济主管部门的横向联系，积极与政协委员交流沟通，注重在面上了解全县经济发展的基本情况，又在点上了解各行业的现状。通过学习，进一步拓宽了自己的视野，增强了知识储备，为更好地胜任本职工作奠定了基础。</w:t>
      </w:r>
    </w:p>
    <w:p>
      <w:pPr>
        <w:numPr>
          <w:ilvl w:val="0"/>
          <w:numId w:val="1"/>
        </w:numPr>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兢兢业业，努力完成本职工作</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今年上半年在经信局工作，下半年在县政协工作。一年来，本人坚持为人民服务的宗旨意识，不断探索和思考工作的新思路和新方法，基本完成了预定的工作任务和目标。</w:t>
      </w:r>
    </w:p>
    <w:p>
      <w:pPr>
        <w:ind w:firstLine="643" w:firstLineChars="200"/>
        <w:rPr>
          <w:rFonts w:hint="eastAsia" w:ascii="楷体_GB2312" w:hAnsi="楷体_GB2312" w:eastAsia="楷体_GB2312" w:cs="楷体_GB2312"/>
          <w:sz w:val="32"/>
          <w:szCs w:val="32"/>
        </w:rPr>
      </w:pPr>
      <w:r>
        <w:rPr>
          <w:rFonts w:hint="eastAsia" w:ascii="楷体_GB2312" w:hAnsi="楷体_GB2312" w:eastAsia="楷体_GB2312" w:cs="楷体_GB2312"/>
          <w:b/>
          <w:sz w:val="32"/>
          <w:szCs w:val="32"/>
        </w:rPr>
        <w:t>商务工作。一是外经贸工作。</w:t>
      </w:r>
      <w:r>
        <w:rPr>
          <w:rFonts w:hint="eastAsia" w:ascii="楷体_GB2312" w:hAnsi="楷体_GB2312" w:eastAsia="楷体_GB2312" w:cs="楷体_GB2312"/>
          <w:sz w:val="32"/>
          <w:szCs w:val="32"/>
        </w:rPr>
        <w:t>积极组织企业参加各类境内外重要展会，开拓国内外市场。强化服务意识，落实各类扶持政策。今年上半年引进外资   美元，在全市率先完成全年任务。帮助银岱公司成功收购美国、法国、墨西哥等公司，价值达1.63亿美元，是我市至今为止价值最大的收购案例。充分利用外经贸运行调查监测系统和产业损害预警系统及时掌握企业进出口情况进一步扩大我县自营进出口获权企业规模，积极引导项目落地。</w:t>
      </w:r>
      <w:r>
        <w:rPr>
          <w:rFonts w:hint="eastAsia" w:ascii="楷体_GB2312" w:hAnsi="楷体_GB2312" w:eastAsia="楷体_GB2312" w:cs="楷体_GB2312"/>
          <w:b/>
          <w:sz w:val="32"/>
          <w:szCs w:val="32"/>
        </w:rPr>
        <w:t>二是内贸工作。</w:t>
      </w:r>
      <w:r>
        <w:rPr>
          <w:rFonts w:hint="eastAsia" w:ascii="楷体_GB2312" w:hAnsi="楷体_GB2312" w:eastAsia="楷体_GB2312" w:cs="楷体_GB2312"/>
          <w:sz w:val="32"/>
          <w:szCs w:val="32"/>
        </w:rPr>
        <w:t>进一步加强商贸经济运行工作，及时有效地做好全县消费品市场运行监测分析，确保消费市场平稳运行。强化成品油市场综合治理工作，积极推进加油站（点）船建设工作。狠抓商贸领域安全生产工作。</w:t>
      </w:r>
      <w:r>
        <w:rPr>
          <w:rFonts w:hint="eastAsia" w:ascii="楷体_GB2312" w:hAnsi="楷体_GB2312" w:eastAsia="楷体_GB2312" w:cs="楷体_GB2312"/>
          <w:b/>
          <w:sz w:val="32"/>
          <w:szCs w:val="32"/>
        </w:rPr>
        <w:t>三是粮食工作。</w:t>
      </w:r>
      <w:r>
        <w:rPr>
          <w:rFonts w:hint="eastAsia" w:ascii="楷体_GB2312" w:hAnsi="楷体_GB2312" w:eastAsia="楷体_GB2312" w:cs="楷体_GB2312"/>
          <w:sz w:val="32"/>
          <w:szCs w:val="32"/>
        </w:rPr>
        <w:t>粮食安全责任制得到有效落实，粮食应急保障能力得到进一步提高，储备粮管理工作得到进一步规范，军粮保障工作有新的提升，国有资产管理得到进一步加强。</w:t>
      </w:r>
    </w:p>
    <w:p>
      <w:pPr>
        <w:ind w:firstLine="643" w:firstLineChars="200"/>
        <w:rPr>
          <w:rFonts w:hint="eastAsia" w:ascii="楷体_GB2312" w:hAnsi="楷体_GB2312" w:eastAsia="楷体_GB2312" w:cs="楷体_GB2312"/>
          <w:sz w:val="32"/>
          <w:szCs w:val="32"/>
        </w:rPr>
      </w:pPr>
      <w:r>
        <w:rPr>
          <w:rFonts w:hint="eastAsia" w:ascii="楷体_GB2312" w:hAnsi="楷体_GB2312" w:eastAsia="楷体_GB2312" w:cs="楷体_GB2312"/>
          <w:b/>
          <w:sz w:val="32"/>
          <w:szCs w:val="32"/>
        </w:rPr>
        <w:t>政协工作。</w:t>
      </w:r>
      <w:r>
        <w:rPr>
          <w:rFonts w:hint="eastAsia" w:ascii="楷体_GB2312" w:hAnsi="楷体_GB2312" w:eastAsia="楷体_GB2312" w:cs="楷体_GB2312"/>
          <w:sz w:val="32"/>
          <w:szCs w:val="32"/>
        </w:rPr>
        <w:t>协助做好课题调研，今年的课题是“开展加快推进我县现代港航服务产业的调研”，现已提交调研报告，供县委、县政府决策参考。围绕全县经济发展重点领域，与交通局、经信局联系沟通，开展水陆公共客运提升工作专题视察，开展众创园区打造情况知情视察。协助做好“亩均论英雄”督查工作，起草实施方案，并落实好各项的衔接工作。协助做好我县“违无建县”创建的年终视察工作。</w:t>
      </w:r>
    </w:p>
    <w:p>
      <w:pPr>
        <w:numPr>
          <w:ilvl w:val="0"/>
          <w:numId w:val="1"/>
        </w:numPr>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按党风廉政责任制要求，做好廉洁自律工作</w:t>
      </w:r>
    </w:p>
    <w:p>
      <w:pPr>
        <w:ind w:firstLine="614" w:firstLineChars="192"/>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根据党风廉政责任制要求，平时在强化学习的同时，切实加强自我监督和管理，把党风廉政建设的有关规定和平时的工作结合起来，对自己提出严格要求，自我进行认真剖析，特别是“四风”问题、党风廉政建设执行情况，敢于对自己的思想，客观地、实事求是地进行分析和总结，深刻检查自己，对同志们提出的批评和建议，始终以诚恳的态度予以接受，并做到有则改之，无则加勉。平时也能自觉遵守社会公德和职业道德，做到自重、自爱、自省，努力维护党员干部的好形象，努力遏制各类不正之风和腐败现象的滋生蔓延。真正做到“堂堂正正做人，清清白白做事”。平时能时刻保持警惕，按照县里的有关规定，落实好党风廉政建设。八小时外注重自己的社交圈、生活圈。一年来，我能认真落实党风廉政建设责任制，克己奉公，清正廉洁，自觉遵守《廉政准则》、《二个条例》、八项规定等制度，保持了过硬的清正廉洁作风，没有违纪违法事件的发生。</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年来在县政协党组的正确领导下基本完成了预期的目标任务，但也存在着诸多的问题和不足，有待于今后改正和提高。一是理论学习和业务学习不够系统和钻研，对政协的专业知识有待于进一步加强；二是对工作可能出现的问题和困难，从整体上把握不够，工作的预见性不够；三是工作方法也不够稳妥，容易给人误会。在新的一年里，我要克服自身的缺点和弱点，迎难而上，敢于担当 ，圆满完成上级交给的各项任务。</w:t>
      </w:r>
    </w:p>
    <w:sectPr>
      <w:headerReference r:id="rId3" w:type="default"/>
      <w:pgSz w:w="11906" w:h="16838"/>
      <w:pgMar w:top="1440" w:right="180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73CDE"/>
    <w:multiLevelType w:val="multilevel"/>
    <w:tmpl w:val="0DC73CDE"/>
    <w:lvl w:ilvl="0" w:tentative="0">
      <w:start w:val="1"/>
      <w:numFmt w:val="japaneseCounting"/>
      <w:lvlText w:val="%1、"/>
      <w:lvlJc w:val="left"/>
      <w:pPr>
        <w:tabs>
          <w:tab w:val="left" w:pos="1260"/>
        </w:tabs>
        <w:ind w:left="1260" w:hanging="720"/>
      </w:pPr>
      <w:rPr>
        <w:rFonts w:hint="default" w:cs="Times New Roman"/>
      </w:rPr>
    </w:lvl>
    <w:lvl w:ilvl="1" w:tentative="0">
      <w:start w:val="1"/>
      <w:numFmt w:val="lowerLetter"/>
      <w:lvlText w:val="%2)"/>
      <w:lvlJc w:val="left"/>
      <w:pPr>
        <w:tabs>
          <w:tab w:val="left" w:pos="1380"/>
        </w:tabs>
        <w:ind w:left="1380" w:hanging="420"/>
      </w:pPr>
      <w:rPr>
        <w:rFonts w:cs="Times New Roman"/>
      </w:rPr>
    </w:lvl>
    <w:lvl w:ilvl="2" w:tentative="0">
      <w:start w:val="1"/>
      <w:numFmt w:val="lowerRoman"/>
      <w:lvlText w:val="%3."/>
      <w:lvlJc w:val="right"/>
      <w:pPr>
        <w:tabs>
          <w:tab w:val="left" w:pos="1800"/>
        </w:tabs>
        <w:ind w:left="1800" w:hanging="420"/>
      </w:pPr>
      <w:rPr>
        <w:rFonts w:cs="Times New Roman"/>
      </w:rPr>
    </w:lvl>
    <w:lvl w:ilvl="3" w:tentative="0">
      <w:start w:val="1"/>
      <w:numFmt w:val="decimal"/>
      <w:lvlText w:val="%4."/>
      <w:lvlJc w:val="left"/>
      <w:pPr>
        <w:tabs>
          <w:tab w:val="left" w:pos="2220"/>
        </w:tabs>
        <w:ind w:left="2220" w:hanging="420"/>
      </w:pPr>
      <w:rPr>
        <w:rFonts w:cs="Times New Roman"/>
      </w:rPr>
    </w:lvl>
    <w:lvl w:ilvl="4" w:tentative="0">
      <w:start w:val="1"/>
      <w:numFmt w:val="lowerLetter"/>
      <w:lvlText w:val="%5)"/>
      <w:lvlJc w:val="left"/>
      <w:pPr>
        <w:tabs>
          <w:tab w:val="left" w:pos="2640"/>
        </w:tabs>
        <w:ind w:left="2640" w:hanging="420"/>
      </w:pPr>
      <w:rPr>
        <w:rFonts w:cs="Times New Roman"/>
      </w:rPr>
    </w:lvl>
    <w:lvl w:ilvl="5" w:tentative="0">
      <w:start w:val="1"/>
      <w:numFmt w:val="lowerRoman"/>
      <w:lvlText w:val="%6."/>
      <w:lvlJc w:val="right"/>
      <w:pPr>
        <w:tabs>
          <w:tab w:val="left" w:pos="3060"/>
        </w:tabs>
        <w:ind w:left="3060" w:hanging="420"/>
      </w:pPr>
      <w:rPr>
        <w:rFonts w:cs="Times New Roman"/>
      </w:rPr>
    </w:lvl>
    <w:lvl w:ilvl="6" w:tentative="0">
      <w:start w:val="1"/>
      <w:numFmt w:val="decimal"/>
      <w:lvlText w:val="%7."/>
      <w:lvlJc w:val="left"/>
      <w:pPr>
        <w:tabs>
          <w:tab w:val="left" w:pos="3480"/>
        </w:tabs>
        <w:ind w:left="3480" w:hanging="420"/>
      </w:pPr>
      <w:rPr>
        <w:rFonts w:cs="Times New Roman"/>
      </w:rPr>
    </w:lvl>
    <w:lvl w:ilvl="7" w:tentative="0">
      <w:start w:val="1"/>
      <w:numFmt w:val="lowerLetter"/>
      <w:lvlText w:val="%8)"/>
      <w:lvlJc w:val="left"/>
      <w:pPr>
        <w:tabs>
          <w:tab w:val="left" w:pos="3900"/>
        </w:tabs>
        <w:ind w:left="3900" w:hanging="420"/>
      </w:pPr>
      <w:rPr>
        <w:rFonts w:cs="Times New Roman"/>
      </w:rPr>
    </w:lvl>
    <w:lvl w:ilvl="8" w:tentative="0">
      <w:start w:val="1"/>
      <w:numFmt w:val="lowerRoman"/>
      <w:lvlText w:val="%9."/>
      <w:lvlJc w:val="right"/>
      <w:pPr>
        <w:tabs>
          <w:tab w:val="left" w:pos="4320"/>
        </w:tabs>
        <w:ind w:left="43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0C2"/>
    <w:rsid w:val="000048E2"/>
    <w:rsid w:val="0001332D"/>
    <w:rsid w:val="00027DAA"/>
    <w:rsid w:val="00087886"/>
    <w:rsid w:val="000B4D7E"/>
    <w:rsid w:val="000D07C1"/>
    <w:rsid w:val="000D2E81"/>
    <w:rsid w:val="001A60C2"/>
    <w:rsid w:val="001A643F"/>
    <w:rsid w:val="001F3012"/>
    <w:rsid w:val="00440A53"/>
    <w:rsid w:val="00453427"/>
    <w:rsid w:val="005D03E8"/>
    <w:rsid w:val="005E0918"/>
    <w:rsid w:val="00660268"/>
    <w:rsid w:val="007C7970"/>
    <w:rsid w:val="007D40A6"/>
    <w:rsid w:val="008121D6"/>
    <w:rsid w:val="008F053A"/>
    <w:rsid w:val="0091696C"/>
    <w:rsid w:val="009369C2"/>
    <w:rsid w:val="00942757"/>
    <w:rsid w:val="00B26BC0"/>
    <w:rsid w:val="00B87A0E"/>
    <w:rsid w:val="00B95DD0"/>
    <w:rsid w:val="00FA1F08"/>
    <w:rsid w:val="026A54B8"/>
    <w:rsid w:val="73C231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locked/>
    <w:uiPriority w:val="99"/>
    <w:rPr>
      <w:rFonts w:cs="Times New Roman"/>
      <w:sz w:val="18"/>
      <w:szCs w:val="18"/>
    </w:rPr>
  </w:style>
  <w:style w:type="character" w:customStyle="1" w:styleId="7">
    <w:name w:val="页脚 Char"/>
    <w:basedOn w:val="4"/>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9DCAB-7465-4A3D-B396-E682C1D707AA}">
  <ds:schemaRefs/>
</ds:datastoreItem>
</file>

<file path=docProps/app.xml><?xml version="1.0" encoding="utf-8"?>
<Properties xmlns="http://schemas.openxmlformats.org/officeDocument/2006/extended-properties" xmlns:vt="http://schemas.openxmlformats.org/officeDocument/2006/docPropsVTypes">
  <Template>Normal</Template>
  <Pages>3</Pages>
  <Words>1749</Words>
  <Characters>38</Characters>
  <Lines>1</Lines>
  <Paragraphs>3</Paragraphs>
  <TotalTime>1</TotalTime>
  <ScaleCrop>false</ScaleCrop>
  <LinksUpToDate>false</LinksUpToDate>
  <CharactersWithSpaces>1784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2018-12-14T06:44:00Z</dcterms:created>
  <dc:creator>DSZX</dc:creator>
  <cp:lastModifiedBy>夕梨</cp:lastModifiedBy>
  <dcterms:modified xsi:type="dcterms:W3CDTF">2018-12-21T04:01:51Z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